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both"/>
        <w:rPr>
          <w:rFonts w:hint="eastAsia" w:ascii="黑体" w:hAnsi="黑体" w:eastAsia="黑体" w:cs="黑体"/>
          <w:b w:val="0"/>
          <w:bCs/>
          <w:color w:val="000000"/>
          <w:sz w:val="32"/>
          <w:szCs w:val="32"/>
          <w:highlight w:val="none"/>
          <w:shd w:val="clear" w:color="auto" w:fill="auto"/>
          <w:lang w:val="en-US" w:eastAsia="zh-CN"/>
        </w:rPr>
      </w:pPr>
      <w:r>
        <w:rPr>
          <w:rFonts w:hint="eastAsia" w:ascii="黑体" w:hAnsi="黑体" w:eastAsia="黑体" w:cs="黑体"/>
          <w:b w:val="0"/>
          <w:bCs/>
          <w:color w:val="000000"/>
          <w:sz w:val="32"/>
          <w:szCs w:val="32"/>
          <w:highlight w:val="none"/>
          <w:shd w:val="clear" w:color="auto" w:fill="auto"/>
          <w:lang w:val="en-US" w:eastAsia="zh-CN"/>
        </w:rPr>
        <w:t>附件1</w:t>
      </w:r>
    </w:p>
    <w:p>
      <w:pPr>
        <w:spacing w:line="1000" w:lineRule="exact"/>
        <w:jc w:val="center"/>
        <w:rPr>
          <w:rFonts w:hint="eastAsia" w:ascii="方正大标宋简体" w:hAnsi="方正大标宋简体" w:eastAsia="方正大标宋简体" w:cs="方正大标宋简体"/>
          <w:b w:val="0"/>
          <w:bCs/>
          <w:color w:val="000000"/>
          <w:sz w:val="52"/>
          <w:highlight w:val="none"/>
          <w:shd w:val="clear" w:color="auto" w:fill="auto"/>
        </w:rPr>
      </w:pPr>
    </w:p>
    <w:p>
      <w:pPr>
        <w:spacing w:line="1000" w:lineRule="exact"/>
        <w:jc w:val="center"/>
        <w:rPr>
          <w:rFonts w:hint="eastAsia" w:ascii="方正大标宋简体" w:hAnsi="方正大标宋简体" w:eastAsia="方正大标宋简体" w:cs="方正大标宋简体"/>
          <w:b w:val="0"/>
          <w:bCs/>
          <w:color w:val="000000"/>
          <w:sz w:val="52"/>
          <w:highlight w:val="none"/>
          <w:shd w:val="clear" w:color="auto" w:fill="auto"/>
        </w:rPr>
      </w:pPr>
    </w:p>
    <w:p>
      <w:pPr>
        <w:spacing w:line="1000" w:lineRule="exact"/>
        <w:jc w:val="center"/>
        <w:rPr>
          <w:rFonts w:hint="eastAsia" w:ascii="方正大标宋简体" w:hAnsi="方正大标宋简体" w:eastAsia="方正大标宋简体" w:cs="方正大标宋简体"/>
          <w:b w:val="0"/>
          <w:bCs/>
          <w:color w:val="000000"/>
          <w:sz w:val="52"/>
          <w:highlight w:val="none"/>
          <w:shd w:val="clear" w:color="auto" w:fill="auto"/>
        </w:rPr>
      </w:pPr>
      <w:r>
        <w:rPr>
          <w:rFonts w:hint="eastAsia" w:ascii="方正大标宋简体" w:hAnsi="方正大标宋简体" w:eastAsia="方正大标宋简体" w:cs="方正大标宋简体"/>
          <w:b w:val="0"/>
          <w:bCs/>
          <w:color w:val="000000"/>
          <w:sz w:val="52"/>
          <w:highlight w:val="none"/>
          <w:shd w:val="clear" w:color="auto" w:fill="auto"/>
        </w:rPr>
        <w:t>河南省社科联</w:t>
      </w:r>
    </w:p>
    <w:p>
      <w:pPr>
        <w:spacing w:line="1000" w:lineRule="exact"/>
        <w:jc w:val="center"/>
        <w:rPr>
          <w:rFonts w:hint="eastAsia" w:ascii="方正大标宋简体" w:hAnsi="方正大标宋简体" w:eastAsia="方正大标宋简体" w:cs="方正大标宋简体"/>
          <w:b w:val="0"/>
          <w:bCs/>
          <w:color w:val="000000"/>
          <w:sz w:val="52"/>
          <w:highlight w:val="none"/>
          <w:shd w:val="clear" w:color="auto" w:fill="auto"/>
        </w:rPr>
      </w:pPr>
      <w:bookmarkStart w:id="0" w:name="_GoBack"/>
      <w:r>
        <w:rPr>
          <w:rFonts w:hint="eastAsia" w:ascii="方正大标宋简体" w:hAnsi="方正大标宋简体" w:eastAsia="方正大标宋简体" w:cs="方正大标宋简体"/>
          <w:b w:val="0"/>
          <w:bCs/>
          <w:color w:val="000000"/>
          <w:sz w:val="52"/>
          <w:highlight w:val="none"/>
          <w:shd w:val="clear" w:color="auto" w:fill="auto"/>
        </w:rPr>
        <w:t>202</w:t>
      </w:r>
      <w:r>
        <w:rPr>
          <w:rFonts w:hint="eastAsia" w:ascii="方正大标宋简体" w:hAnsi="方正大标宋简体" w:eastAsia="方正大标宋简体" w:cs="方正大标宋简体"/>
          <w:b w:val="0"/>
          <w:bCs/>
          <w:color w:val="000000"/>
          <w:sz w:val="52"/>
          <w:highlight w:val="none"/>
          <w:shd w:val="clear" w:color="auto" w:fill="auto"/>
          <w:lang w:val="en-US" w:eastAsia="zh-CN"/>
        </w:rPr>
        <w:t>3</w:t>
      </w:r>
      <w:r>
        <w:rPr>
          <w:rFonts w:hint="eastAsia" w:ascii="方正大标宋简体" w:hAnsi="方正大标宋简体" w:eastAsia="方正大标宋简体" w:cs="方正大标宋简体"/>
          <w:b w:val="0"/>
          <w:bCs/>
          <w:color w:val="000000"/>
          <w:sz w:val="52"/>
          <w:highlight w:val="none"/>
          <w:shd w:val="clear" w:color="auto" w:fill="auto"/>
        </w:rPr>
        <w:t>年度调研课题指南</w:t>
      </w:r>
    </w:p>
    <w:bookmarkEnd w:id="0"/>
    <w:p>
      <w:pPr>
        <w:spacing w:line="360" w:lineRule="auto"/>
        <w:jc w:val="center"/>
        <w:rPr>
          <w:rFonts w:hint="eastAsia" w:ascii="黑体" w:eastAsia="黑体"/>
          <w:color w:val="000000"/>
          <w:sz w:val="52"/>
          <w:highlight w:val="none"/>
          <w:shd w:val="clear" w:color="auto" w:fill="auto"/>
        </w:rPr>
      </w:pPr>
    </w:p>
    <w:p>
      <w:pPr>
        <w:spacing w:line="360" w:lineRule="auto"/>
        <w:jc w:val="center"/>
        <w:rPr>
          <w:rFonts w:hint="eastAsia" w:ascii="黑体" w:eastAsia="黑体"/>
          <w:color w:val="000000"/>
          <w:sz w:val="52"/>
          <w:highlight w:val="none"/>
          <w:shd w:val="clear" w:color="auto" w:fill="auto"/>
        </w:rPr>
      </w:pPr>
    </w:p>
    <w:p>
      <w:pPr>
        <w:spacing w:line="360" w:lineRule="auto"/>
        <w:jc w:val="center"/>
        <w:rPr>
          <w:rFonts w:hint="eastAsia" w:ascii="黑体" w:eastAsia="黑体"/>
          <w:color w:val="000000"/>
          <w:sz w:val="52"/>
          <w:highlight w:val="none"/>
          <w:shd w:val="clear" w:color="auto" w:fill="auto"/>
        </w:rPr>
      </w:pPr>
    </w:p>
    <w:p>
      <w:pPr>
        <w:spacing w:line="360" w:lineRule="auto"/>
        <w:jc w:val="center"/>
        <w:rPr>
          <w:rFonts w:hint="eastAsia" w:ascii="黑体" w:eastAsia="黑体"/>
          <w:color w:val="000000"/>
          <w:sz w:val="52"/>
          <w:highlight w:val="none"/>
          <w:shd w:val="clear" w:color="auto" w:fill="auto"/>
        </w:rPr>
      </w:pPr>
    </w:p>
    <w:p>
      <w:pPr>
        <w:spacing w:line="360" w:lineRule="auto"/>
        <w:jc w:val="center"/>
        <w:rPr>
          <w:rFonts w:hint="eastAsia" w:ascii="黑体" w:eastAsia="黑体"/>
          <w:color w:val="000000"/>
          <w:sz w:val="52"/>
          <w:highlight w:val="none"/>
          <w:shd w:val="clear" w:color="auto" w:fill="auto"/>
        </w:rPr>
      </w:pPr>
    </w:p>
    <w:p>
      <w:pPr>
        <w:spacing w:line="360" w:lineRule="auto"/>
        <w:jc w:val="center"/>
        <w:rPr>
          <w:rFonts w:hint="eastAsia" w:ascii="黑体" w:eastAsia="黑体"/>
          <w:color w:val="000000"/>
          <w:sz w:val="52"/>
          <w:highlight w:val="none"/>
          <w:shd w:val="clear" w:color="auto" w:fill="auto"/>
        </w:rPr>
      </w:pPr>
    </w:p>
    <w:p>
      <w:pPr>
        <w:spacing w:line="360" w:lineRule="auto"/>
        <w:jc w:val="center"/>
        <w:rPr>
          <w:rFonts w:hint="eastAsia" w:ascii="楷体_GB2312" w:eastAsia="楷体_GB2312"/>
          <w:color w:val="000000"/>
          <w:sz w:val="32"/>
          <w:highlight w:val="none"/>
          <w:shd w:val="clear" w:color="auto" w:fill="auto"/>
        </w:rPr>
      </w:pPr>
    </w:p>
    <w:p>
      <w:pPr>
        <w:spacing w:line="360" w:lineRule="auto"/>
        <w:jc w:val="center"/>
        <w:rPr>
          <w:rFonts w:hint="eastAsia" w:ascii="楷体_GB2312" w:eastAsia="楷体_GB2312"/>
          <w:color w:val="000000"/>
          <w:sz w:val="32"/>
          <w:highlight w:val="none"/>
          <w:shd w:val="clear" w:color="auto" w:fill="auto"/>
        </w:rPr>
      </w:pPr>
    </w:p>
    <w:p>
      <w:pPr>
        <w:spacing w:line="360" w:lineRule="auto"/>
        <w:jc w:val="center"/>
        <w:rPr>
          <w:rFonts w:hint="eastAsia" w:ascii="仿宋_GB2312" w:hAnsi="仿宋_GB2312" w:eastAsia="仿宋_GB2312" w:cs="仿宋_GB2312"/>
          <w:color w:val="000000"/>
          <w:sz w:val="32"/>
          <w:szCs w:val="24"/>
          <w:highlight w:val="none"/>
          <w:shd w:val="clear" w:color="auto" w:fill="auto"/>
        </w:rPr>
      </w:pPr>
      <w:r>
        <w:rPr>
          <w:rFonts w:hint="eastAsia" w:ascii="仿宋_GB2312" w:hAnsi="仿宋_GB2312" w:eastAsia="仿宋_GB2312" w:cs="仿宋_GB2312"/>
          <w:color w:val="000000"/>
          <w:sz w:val="32"/>
          <w:szCs w:val="24"/>
          <w:highlight w:val="none"/>
          <w:shd w:val="clear" w:color="auto" w:fill="auto"/>
        </w:rPr>
        <w:t>河南省社会科学界联合会</w:t>
      </w:r>
    </w:p>
    <w:p>
      <w:pPr>
        <w:spacing w:line="360" w:lineRule="auto"/>
        <w:jc w:val="center"/>
        <w:rPr>
          <w:rFonts w:hint="eastAsia" w:ascii="仿宋_GB2312" w:hAnsi="仿宋_GB2312" w:eastAsia="仿宋_GB2312" w:cs="仿宋_GB2312"/>
          <w:color w:val="000000"/>
          <w:sz w:val="32"/>
          <w:szCs w:val="24"/>
          <w:highlight w:val="none"/>
          <w:shd w:val="clear" w:color="auto" w:fill="auto"/>
        </w:rPr>
      </w:pPr>
      <w:r>
        <w:rPr>
          <w:rFonts w:hint="eastAsia" w:ascii="仿宋_GB2312" w:hAnsi="仿宋_GB2312" w:eastAsia="仿宋_GB2312" w:cs="仿宋_GB2312"/>
          <w:color w:val="000000"/>
          <w:sz w:val="32"/>
          <w:szCs w:val="24"/>
          <w:highlight w:val="none"/>
          <w:shd w:val="clear" w:color="auto" w:fill="auto"/>
        </w:rPr>
        <w:t>202</w:t>
      </w:r>
      <w:r>
        <w:rPr>
          <w:rFonts w:hint="eastAsia" w:ascii="仿宋_GB2312" w:hAnsi="仿宋_GB2312" w:eastAsia="仿宋_GB2312" w:cs="仿宋_GB2312"/>
          <w:color w:val="000000"/>
          <w:sz w:val="32"/>
          <w:szCs w:val="24"/>
          <w:highlight w:val="none"/>
          <w:shd w:val="clear" w:color="auto" w:fill="auto"/>
          <w:lang w:val="en-US" w:eastAsia="zh-CN"/>
        </w:rPr>
        <w:t>3</w:t>
      </w:r>
      <w:r>
        <w:rPr>
          <w:rFonts w:hint="eastAsia" w:ascii="仿宋_GB2312" w:hAnsi="仿宋_GB2312" w:eastAsia="仿宋_GB2312" w:cs="仿宋_GB2312"/>
          <w:color w:val="000000"/>
          <w:sz w:val="32"/>
          <w:szCs w:val="24"/>
          <w:highlight w:val="none"/>
          <w:shd w:val="clear" w:color="auto" w:fill="auto"/>
        </w:rPr>
        <w:t>年</w:t>
      </w:r>
      <w:r>
        <w:rPr>
          <w:rFonts w:hint="eastAsia" w:ascii="仿宋_GB2312" w:hAnsi="仿宋_GB2312" w:eastAsia="仿宋_GB2312" w:cs="仿宋_GB2312"/>
          <w:color w:val="000000"/>
          <w:sz w:val="32"/>
          <w:szCs w:val="24"/>
          <w:highlight w:val="none"/>
          <w:shd w:val="clear" w:color="auto" w:fill="auto"/>
          <w:lang w:val="en-US" w:eastAsia="zh-CN"/>
        </w:rPr>
        <w:t>2</w:t>
      </w:r>
      <w:r>
        <w:rPr>
          <w:rFonts w:hint="eastAsia" w:ascii="仿宋_GB2312" w:hAnsi="仿宋_GB2312" w:eastAsia="仿宋_GB2312" w:cs="仿宋_GB2312"/>
          <w:color w:val="000000"/>
          <w:sz w:val="32"/>
          <w:szCs w:val="24"/>
          <w:highlight w:val="none"/>
          <w:shd w:val="clear" w:color="auto" w:fill="auto"/>
        </w:rPr>
        <w:t>月</w:t>
      </w:r>
    </w:p>
    <w:p>
      <w:pPr>
        <w:spacing w:line="420" w:lineRule="exact"/>
        <w:jc w:val="both"/>
        <w:rPr>
          <w:rFonts w:hint="eastAsia" w:ascii="黑体" w:eastAsia="黑体"/>
          <w:color w:val="000000"/>
          <w:sz w:val="36"/>
          <w:highlight w:val="none"/>
          <w:shd w:val="clear" w:color="auto" w:fill="auto"/>
        </w:rPr>
      </w:pPr>
    </w:p>
    <w:p>
      <w:pPr>
        <w:spacing w:line="420" w:lineRule="exact"/>
        <w:jc w:val="center"/>
        <w:rPr>
          <w:rFonts w:hint="eastAsia" w:ascii="黑体" w:eastAsia="黑体"/>
          <w:color w:val="000000"/>
          <w:sz w:val="36"/>
          <w:highlight w:val="none"/>
          <w:shd w:val="clear" w:color="auto" w:fill="auto"/>
        </w:rPr>
      </w:pPr>
    </w:p>
    <w:p>
      <w:pPr>
        <w:spacing w:line="420" w:lineRule="exact"/>
        <w:jc w:val="center"/>
        <w:rPr>
          <w:rFonts w:hint="eastAsia" w:ascii="黑体" w:eastAsia="黑体"/>
          <w:sz w:val="36"/>
        </w:rPr>
      </w:pPr>
    </w:p>
    <w:p>
      <w:pPr>
        <w:spacing w:line="420" w:lineRule="exact"/>
        <w:jc w:val="center"/>
        <w:rPr>
          <w:rFonts w:hint="eastAsia" w:ascii="黑体" w:eastAsia="黑体"/>
          <w:sz w:val="36"/>
        </w:rPr>
      </w:pPr>
      <w:r>
        <w:rPr>
          <w:rFonts w:hint="eastAsia" w:ascii="黑体" w:eastAsia="黑体"/>
          <w:sz w:val="36"/>
        </w:rPr>
        <w:t>说         明</w:t>
      </w:r>
    </w:p>
    <w:p>
      <w:pPr>
        <w:spacing w:line="440" w:lineRule="exact"/>
        <w:ind w:firstLine="480" w:firstLineChars="200"/>
        <w:rPr>
          <w:rFonts w:hint="eastAsia" w:ascii="仿宋_GB2312" w:eastAsia="仿宋_GB2312"/>
          <w:sz w:val="24"/>
        </w:rPr>
      </w:pPr>
    </w:p>
    <w:p>
      <w:pPr>
        <w:spacing w:line="480" w:lineRule="exact"/>
        <w:ind w:firstLine="480" w:firstLineChars="200"/>
        <w:rPr>
          <w:rFonts w:hint="eastAsia" w:ascii="仿宋" w:hAnsi="仿宋" w:eastAsia="仿宋"/>
          <w:bCs/>
          <w:sz w:val="24"/>
          <w:lang w:eastAsia="zh-CN"/>
        </w:rPr>
      </w:pPr>
      <w:r>
        <w:rPr>
          <w:rFonts w:hint="eastAsia" w:ascii="仿宋" w:hAnsi="仿宋" w:eastAsia="仿宋"/>
          <w:bCs/>
          <w:sz w:val="24"/>
        </w:rPr>
        <w:t>一、《河南</w:t>
      </w:r>
      <w:r>
        <w:rPr>
          <w:rFonts w:hint="eastAsia" w:ascii="仿宋" w:hAnsi="仿宋" w:eastAsia="仿宋"/>
          <w:bCs/>
          <w:sz w:val="24"/>
          <w:lang w:eastAsia="zh-CN"/>
        </w:rPr>
        <w:t>省社科联202</w:t>
      </w:r>
      <w:r>
        <w:rPr>
          <w:rFonts w:hint="eastAsia" w:ascii="仿宋" w:hAnsi="仿宋" w:eastAsia="仿宋"/>
          <w:bCs/>
          <w:sz w:val="24"/>
          <w:lang w:val="en-US" w:eastAsia="zh-CN"/>
        </w:rPr>
        <w:t>3</w:t>
      </w:r>
      <w:r>
        <w:rPr>
          <w:rFonts w:hint="eastAsia" w:ascii="仿宋" w:hAnsi="仿宋" w:eastAsia="仿宋"/>
          <w:bCs/>
          <w:sz w:val="24"/>
          <w:lang w:eastAsia="zh-CN"/>
        </w:rPr>
        <w:t>年度调</w:t>
      </w:r>
      <w:r>
        <w:rPr>
          <w:rFonts w:hint="eastAsia" w:ascii="仿宋" w:hAnsi="仿宋" w:eastAsia="仿宋"/>
          <w:bCs/>
          <w:sz w:val="24"/>
        </w:rPr>
        <w:t>研课题指南》(以下简称《指南》), 坚持以习近平新时代中国特色社会主义思想为指导，</w:t>
      </w:r>
      <w:r>
        <w:rPr>
          <w:rFonts w:hint="eastAsia" w:ascii="仿宋" w:hAnsi="仿宋" w:eastAsia="仿宋"/>
          <w:bCs/>
          <w:sz w:val="24"/>
          <w:lang w:eastAsia="zh-CN"/>
        </w:rPr>
        <w:t>学习宣传贯彻</w:t>
      </w:r>
      <w:r>
        <w:rPr>
          <w:rFonts w:hint="eastAsia" w:ascii="仿宋" w:hAnsi="仿宋" w:eastAsia="仿宋"/>
          <w:bCs/>
          <w:sz w:val="24"/>
        </w:rPr>
        <w:t>党的</w:t>
      </w:r>
      <w:r>
        <w:rPr>
          <w:rFonts w:hint="eastAsia" w:ascii="仿宋" w:hAnsi="仿宋" w:eastAsia="仿宋"/>
          <w:bCs/>
          <w:sz w:val="24"/>
          <w:lang w:eastAsia="zh-CN"/>
        </w:rPr>
        <w:t>二十大</w:t>
      </w:r>
      <w:r>
        <w:rPr>
          <w:rFonts w:hint="eastAsia" w:ascii="仿宋" w:hAnsi="仿宋" w:eastAsia="仿宋"/>
          <w:bCs/>
          <w:sz w:val="24"/>
        </w:rPr>
        <w:t>精神</w:t>
      </w:r>
      <w:r>
        <w:rPr>
          <w:rFonts w:hint="eastAsia" w:ascii="仿宋" w:hAnsi="仿宋" w:eastAsia="仿宋"/>
          <w:bCs/>
          <w:sz w:val="24"/>
          <w:lang w:eastAsia="zh-CN"/>
        </w:rPr>
        <w:t>，贯彻落实</w:t>
      </w:r>
      <w:r>
        <w:rPr>
          <w:rFonts w:hint="eastAsia" w:ascii="仿宋" w:hAnsi="仿宋" w:eastAsia="仿宋"/>
          <w:bCs/>
          <w:sz w:val="24"/>
        </w:rPr>
        <w:t>省</w:t>
      </w:r>
      <w:r>
        <w:rPr>
          <w:rFonts w:hint="eastAsia" w:ascii="仿宋" w:hAnsi="仿宋" w:eastAsia="仿宋"/>
          <w:bCs/>
          <w:sz w:val="24"/>
          <w:lang w:eastAsia="zh-CN"/>
        </w:rPr>
        <w:t>第十一次党代会精神</w:t>
      </w:r>
      <w:r>
        <w:rPr>
          <w:rFonts w:hint="eastAsia" w:ascii="仿宋" w:hAnsi="仿宋" w:eastAsia="仿宋"/>
          <w:bCs/>
          <w:sz w:val="24"/>
        </w:rPr>
        <w:t>，</w:t>
      </w:r>
      <w:r>
        <w:rPr>
          <w:rFonts w:hint="eastAsia" w:ascii="仿宋" w:hAnsi="仿宋" w:eastAsia="仿宋"/>
          <w:bCs/>
          <w:sz w:val="24"/>
          <w:lang w:eastAsia="zh-CN"/>
        </w:rPr>
        <w:t>锚定“两个确保”、深入实施“十大战略”，</w:t>
      </w:r>
      <w:r>
        <w:rPr>
          <w:rFonts w:hint="eastAsia" w:ascii="仿宋" w:hAnsi="仿宋" w:eastAsia="仿宋"/>
          <w:bCs/>
          <w:sz w:val="24"/>
        </w:rPr>
        <w:t>聚焦我省经济社会发展重大需求</w:t>
      </w:r>
      <w:r>
        <w:rPr>
          <w:rFonts w:hint="eastAsia" w:ascii="仿宋" w:hAnsi="仿宋" w:eastAsia="仿宋"/>
          <w:bCs/>
          <w:sz w:val="24"/>
          <w:lang w:eastAsia="zh-CN"/>
        </w:rPr>
        <w:t>、</w:t>
      </w:r>
      <w:r>
        <w:rPr>
          <w:rFonts w:hint="eastAsia" w:ascii="仿宋" w:hAnsi="仿宋" w:eastAsia="仿宋"/>
          <w:bCs/>
          <w:sz w:val="24"/>
        </w:rPr>
        <w:t>重大战略实施、哲学社会科学事业繁荣发展</w:t>
      </w:r>
      <w:r>
        <w:rPr>
          <w:rFonts w:hint="eastAsia" w:ascii="仿宋" w:hAnsi="仿宋" w:eastAsia="仿宋"/>
          <w:bCs/>
          <w:sz w:val="24"/>
          <w:lang w:eastAsia="zh-CN"/>
        </w:rPr>
        <w:t>等</w:t>
      </w:r>
      <w:r>
        <w:rPr>
          <w:rFonts w:hint="eastAsia" w:ascii="仿宋" w:hAnsi="仿宋" w:eastAsia="仿宋"/>
          <w:bCs/>
          <w:sz w:val="24"/>
        </w:rPr>
        <w:t>热点难点问题</w:t>
      </w:r>
      <w:r>
        <w:rPr>
          <w:rFonts w:hint="eastAsia" w:ascii="仿宋" w:hAnsi="仿宋" w:eastAsia="仿宋"/>
          <w:bCs/>
          <w:sz w:val="24"/>
          <w:lang w:eastAsia="zh-CN"/>
        </w:rPr>
        <w:t>，</w:t>
      </w:r>
      <w:r>
        <w:rPr>
          <w:rFonts w:hint="eastAsia" w:ascii="仿宋" w:hAnsi="仿宋" w:eastAsia="仿宋"/>
          <w:bCs/>
          <w:sz w:val="24"/>
        </w:rPr>
        <w:t>着力进行前瞻性、全局性、战略性研究，大力推动实践基础上的理论创新，力争推出有理论说服力、有实践指导意义、有决策参考价值的精品力作，为</w:t>
      </w:r>
      <w:r>
        <w:rPr>
          <w:rFonts w:hint="eastAsia" w:ascii="仿宋" w:hAnsi="仿宋" w:eastAsia="仿宋"/>
          <w:bCs/>
          <w:sz w:val="24"/>
          <w:lang w:eastAsia="zh-CN"/>
        </w:rPr>
        <w:t>全面建设现代化河南</w:t>
      </w:r>
      <w:r>
        <w:rPr>
          <w:rFonts w:hint="eastAsia"/>
          <w:lang w:eastAsia="zh-CN"/>
        </w:rPr>
        <w:t>、</w:t>
      </w:r>
      <w:r>
        <w:rPr>
          <w:rFonts w:hint="eastAsia" w:ascii="仿宋" w:hAnsi="仿宋" w:eastAsia="仿宋"/>
          <w:bCs/>
          <w:sz w:val="24"/>
        </w:rPr>
        <w:t>服务省委省政府</w:t>
      </w:r>
      <w:r>
        <w:rPr>
          <w:rFonts w:hint="eastAsia" w:ascii="仿宋" w:hAnsi="仿宋" w:eastAsia="仿宋"/>
          <w:bCs/>
          <w:sz w:val="24"/>
          <w:lang w:eastAsia="zh-CN"/>
        </w:rPr>
        <w:t>科学决策提供切实有效的智力支持。</w:t>
      </w:r>
    </w:p>
    <w:p>
      <w:pPr>
        <w:spacing w:line="480" w:lineRule="exact"/>
        <w:ind w:firstLine="480" w:firstLineChars="200"/>
        <w:rPr>
          <w:rFonts w:hint="eastAsia" w:ascii="仿宋" w:hAnsi="仿宋" w:eastAsia="仿宋"/>
          <w:bCs/>
          <w:sz w:val="24"/>
          <w:lang w:val="en-US" w:eastAsia="zh-CN"/>
        </w:rPr>
      </w:pPr>
      <w:r>
        <w:rPr>
          <w:rFonts w:hint="eastAsia" w:ascii="仿宋" w:hAnsi="仿宋" w:eastAsia="仿宋"/>
          <w:bCs/>
          <w:sz w:val="24"/>
          <w:lang w:eastAsia="zh-CN"/>
        </w:rPr>
        <w:t>二、课题指南中的选题原则上按原题申报；申报人也可在指南选题方向下结合自己的研究专长自拟题目，题目拟定要科学、严谨、规范、简明</w:t>
      </w:r>
      <w:r>
        <w:rPr>
          <w:rFonts w:hint="eastAsia" w:ascii="仿宋" w:hAnsi="仿宋" w:eastAsia="仿宋"/>
          <w:bCs/>
          <w:sz w:val="24"/>
          <w:lang w:val="en-US" w:eastAsia="zh-CN"/>
        </w:rPr>
        <w:t>；不接受自选方向的课题申报。</w:t>
      </w:r>
    </w:p>
    <w:p>
      <w:pPr>
        <w:spacing w:line="480" w:lineRule="exact"/>
        <w:ind w:firstLine="480" w:firstLineChars="200"/>
        <w:rPr>
          <w:rFonts w:hint="eastAsia" w:ascii="仿宋" w:hAnsi="仿宋" w:eastAsia="仿宋"/>
          <w:bCs/>
          <w:sz w:val="24"/>
          <w:lang w:eastAsia="zh-CN"/>
        </w:rPr>
      </w:pPr>
      <w:r>
        <w:rPr>
          <w:rFonts w:hint="eastAsia" w:ascii="仿宋" w:hAnsi="仿宋" w:eastAsia="仿宋"/>
          <w:bCs/>
          <w:sz w:val="24"/>
          <w:lang w:eastAsia="zh-CN"/>
        </w:rPr>
        <w:t>三、</w:t>
      </w:r>
      <w:r>
        <w:rPr>
          <w:rFonts w:hint="eastAsia" w:ascii="仿宋" w:hAnsi="仿宋" w:eastAsia="仿宋"/>
          <w:b w:val="0"/>
          <w:bCs/>
          <w:sz w:val="24"/>
          <w:lang w:eastAsia="zh-CN"/>
        </w:rPr>
        <w:t>课题申报流程</w:t>
      </w:r>
      <w:r>
        <w:rPr>
          <w:rFonts w:hint="eastAsia" w:ascii="仿宋" w:hAnsi="仿宋" w:eastAsia="仿宋"/>
          <w:bCs/>
          <w:sz w:val="24"/>
          <w:lang w:eastAsia="zh-CN"/>
        </w:rPr>
        <w:t xml:space="preserve"> </w:t>
      </w:r>
      <w:r>
        <w:rPr>
          <w:rFonts w:hint="eastAsia" w:ascii="仿宋" w:hAnsi="仿宋" w:eastAsia="仿宋"/>
          <w:bCs/>
          <w:sz w:val="24"/>
          <w:lang w:val="en-US" w:eastAsia="zh-CN"/>
        </w:rPr>
        <w:t xml:space="preserve"> </w:t>
      </w:r>
      <w:r>
        <w:rPr>
          <w:rFonts w:hint="eastAsia" w:ascii="仿宋" w:hAnsi="仿宋" w:eastAsia="仿宋"/>
          <w:bCs/>
          <w:sz w:val="24"/>
          <w:lang w:eastAsia="zh-CN"/>
        </w:rPr>
        <w:t>202</w:t>
      </w:r>
      <w:r>
        <w:rPr>
          <w:rFonts w:hint="eastAsia" w:ascii="仿宋" w:hAnsi="仿宋" w:eastAsia="仿宋"/>
          <w:bCs/>
          <w:sz w:val="24"/>
          <w:lang w:val="en-US" w:eastAsia="zh-CN"/>
        </w:rPr>
        <w:t>3</w:t>
      </w:r>
      <w:r>
        <w:rPr>
          <w:rFonts w:hint="eastAsia" w:ascii="仿宋" w:hAnsi="仿宋" w:eastAsia="仿宋"/>
          <w:bCs/>
          <w:sz w:val="24"/>
          <w:lang w:eastAsia="zh-CN"/>
        </w:rPr>
        <w:t>年度省社科联调研课题实行网络申报。申报人需登录中原人文社科网（http:∥www.hnskl.org）“河南省社科联调研课题管理系统”，通过申报系统上传申报表。课题申报系统于</w:t>
      </w:r>
      <w:r>
        <w:rPr>
          <w:rFonts w:hint="eastAsia" w:ascii="仿宋" w:hAnsi="仿宋" w:eastAsia="仿宋"/>
          <w:bCs/>
          <w:sz w:val="24"/>
          <w:lang w:val="en-US" w:eastAsia="zh-CN"/>
        </w:rPr>
        <w:t>2023年4</w:t>
      </w:r>
      <w:r>
        <w:rPr>
          <w:rFonts w:hint="eastAsia" w:ascii="仿宋" w:hAnsi="仿宋" w:eastAsia="仿宋"/>
          <w:bCs/>
          <w:sz w:val="24"/>
          <w:lang w:eastAsia="zh-CN"/>
        </w:rPr>
        <w:t>月</w:t>
      </w:r>
      <w:r>
        <w:rPr>
          <w:rFonts w:hint="eastAsia" w:ascii="仿宋" w:hAnsi="仿宋" w:eastAsia="仿宋"/>
          <w:bCs/>
          <w:sz w:val="24"/>
          <w:lang w:val="en-US" w:eastAsia="zh-CN"/>
        </w:rPr>
        <w:t>2</w:t>
      </w:r>
      <w:r>
        <w:rPr>
          <w:rFonts w:hint="eastAsia" w:ascii="仿宋" w:hAnsi="仿宋" w:eastAsia="仿宋"/>
          <w:bCs/>
          <w:sz w:val="24"/>
          <w:lang w:eastAsia="zh-CN"/>
        </w:rPr>
        <w:t>日</w:t>
      </w:r>
      <w:r>
        <w:rPr>
          <w:rFonts w:hint="eastAsia" w:ascii="仿宋" w:hAnsi="仿宋" w:eastAsia="仿宋"/>
          <w:bCs/>
          <w:sz w:val="24"/>
          <w:lang w:val="en-US" w:eastAsia="zh-CN"/>
        </w:rPr>
        <w:t>8</w:t>
      </w:r>
      <w:r>
        <w:rPr>
          <w:rFonts w:hint="eastAsia" w:ascii="仿宋" w:hAnsi="仿宋" w:eastAsia="仿宋"/>
          <w:bCs/>
          <w:sz w:val="24"/>
          <w:lang w:eastAsia="zh-CN"/>
        </w:rPr>
        <w:t>时至</w:t>
      </w:r>
      <w:r>
        <w:rPr>
          <w:rFonts w:hint="eastAsia" w:ascii="仿宋" w:hAnsi="仿宋" w:eastAsia="仿宋"/>
          <w:bCs/>
          <w:sz w:val="24"/>
          <w:lang w:val="en-US" w:eastAsia="zh-CN"/>
        </w:rPr>
        <w:t>4</w:t>
      </w:r>
      <w:r>
        <w:rPr>
          <w:rFonts w:hint="eastAsia" w:ascii="仿宋" w:hAnsi="仿宋" w:eastAsia="仿宋"/>
          <w:bCs/>
          <w:sz w:val="24"/>
          <w:lang w:eastAsia="zh-CN"/>
        </w:rPr>
        <w:t>月</w:t>
      </w:r>
      <w:r>
        <w:rPr>
          <w:rFonts w:hint="eastAsia" w:ascii="仿宋" w:hAnsi="仿宋" w:eastAsia="仿宋"/>
          <w:bCs/>
          <w:sz w:val="24"/>
          <w:lang w:val="en-US" w:eastAsia="zh-CN"/>
        </w:rPr>
        <w:t>12</w:t>
      </w:r>
      <w:r>
        <w:rPr>
          <w:rFonts w:hint="eastAsia" w:ascii="仿宋" w:hAnsi="仿宋" w:eastAsia="仿宋"/>
          <w:bCs/>
          <w:sz w:val="24"/>
          <w:lang w:eastAsia="zh-CN"/>
        </w:rPr>
        <w:t>日</w:t>
      </w:r>
      <w:r>
        <w:rPr>
          <w:rFonts w:hint="eastAsia" w:ascii="仿宋" w:hAnsi="仿宋" w:eastAsia="仿宋"/>
          <w:bCs/>
          <w:sz w:val="24"/>
          <w:lang w:val="en-US" w:eastAsia="zh-CN"/>
        </w:rPr>
        <w:t>8</w:t>
      </w:r>
      <w:r>
        <w:rPr>
          <w:rFonts w:hint="eastAsia" w:ascii="仿宋" w:hAnsi="仿宋" w:eastAsia="仿宋"/>
          <w:bCs/>
          <w:sz w:val="24"/>
          <w:lang w:eastAsia="zh-CN"/>
        </w:rPr>
        <w:t>时开放，逾期系统自动关闭，不再受理申报。有关申报系统流程及技术问题请咨询</w:t>
      </w:r>
      <w:r>
        <w:rPr>
          <w:rFonts w:hint="eastAsia" w:ascii="仿宋" w:hAnsi="仿宋" w:eastAsia="仿宋"/>
          <w:bCs/>
          <w:sz w:val="24"/>
          <w:lang w:val="en-US" w:eastAsia="zh-CN"/>
        </w:rPr>
        <w:t>0371—60303090</w:t>
      </w:r>
      <w:r>
        <w:rPr>
          <w:rFonts w:hint="eastAsia" w:ascii="仿宋" w:hAnsi="仿宋" w:eastAsia="仿宋"/>
          <w:bCs/>
          <w:sz w:val="24"/>
          <w:lang w:eastAsia="zh-CN"/>
        </w:rPr>
        <w:t>，电子信箱</w:t>
      </w:r>
      <w:r>
        <w:rPr>
          <w:rFonts w:hint="eastAsia" w:ascii="仿宋" w:hAnsi="仿宋" w:eastAsia="仿宋"/>
          <w:bCs/>
          <w:sz w:val="24"/>
          <w:lang w:val="en-US" w:eastAsia="zh-CN"/>
        </w:rPr>
        <w:t>hnzhgn@qq.com。</w:t>
      </w:r>
    </w:p>
    <w:p>
      <w:pPr>
        <w:spacing w:line="480" w:lineRule="exact"/>
        <w:ind w:firstLine="480" w:firstLineChars="200"/>
        <w:rPr>
          <w:rFonts w:hint="eastAsia" w:ascii="仿宋" w:hAnsi="仿宋" w:eastAsia="仿宋"/>
          <w:sz w:val="24"/>
          <w:lang w:eastAsia="zh-CN"/>
        </w:rPr>
      </w:pPr>
      <w:r>
        <w:rPr>
          <w:rFonts w:hint="eastAsia" w:ascii="仿宋" w:hAnsi="仿宋" w:eastAsia="仿宋"/>
          <w:bCs/>
          <w:sz w:val="24"/>
          <w:lang w:eastAsia="zh-CN"/>
        </w:rPr>
        <w:t xml:space="preserve"> 四、</w:t>
      </w:r>
      <w:r>
        <w:rPr>
          <w:rFonts w:hint="eastAsia" w:ascii="仿宋" w:hAnsi="仿宋" w:eastAsia="仿宋"/>
          <w:b w:val="0"/>
          <w:bCs/>
          <w:sz w:val="24"/>
          <w:lang w:eastAsia="zh-CN"/>
        </w:rPr>
        <w:t>课题验收</w:t>
      </w:r>
      <w:r>
        <w:rPr>
          <w:rFonts w:hint="eastAsia" w:ascii="仿宋" w:hAnsi="仿宋" w:eastAsia="仿宋"/>
          <w:bCs/>
          <w:sz w:val="24"/>
          <w:lang w:eastAsia="zh-CN"/>
        </w:rPr>
        <w:t xml:space="preserve">  </w:t>
      </w:r>
      <w:r>
        <w:rPr>
          <w:rFonts w:hint="eastAsia" w:ascii="仿宋" w:hAnsi="仿宋" w:eastAsia="仿宋"/>
          <w:b/>
          <w:bCs w:val="0"/>
          <w:sz w:val="24"/>
          <w:lang w:eastAsia="zh-CN"/>
        </w:rPr>
        <w:t>申报课题获准立项后，课题主持人、成员不得更换。</w:t>
      </w:r>
      <w:r>
        <w:rPr>
          <w:rFonts w:hint="eastAsia" w:ascii="仿宋" w:hAnsi="仿宋" w:eastAsia="仿宋"/>
          <w:bCs/>
          <w:sz w:val="24"/>
          <w:lang w:eastAsia="zh-CN"/>
        </w:rPr>
        <w:t>主持人应按照《立项通知书》要求，在规定时间内完成课题调研与报告撰写任务，按照时间要求将课题报告提交至“河南省社科联调研课题管理系统”。经专家组评审</w:t>
      </w:r>
      <w:r>
        <w:rPr>
          <w:rFonts w:hint="eastAsia" w:ascii="仿宋" w:hAnsi="仿宋" w:eastAsia="仿宋"/>
          <w:sz w:val="24"/>
          <w:lang w:eastAsia="zh-CN"/>
        </w:rPr>
        <w:t>后，在课题结项的基础上，另评出一定数量的等级奖。对验收合格和获奖的课题成果，向课题组成员分别颁发结项证书和奖励证书。</w:t>
      </w:r>
    </w:p>
    <w:p>
      <w:pPr>
        <w:spacing w:line="480" w:lineRule="exact"/>
        <w:ind w:firstLine="600"/>
        <w:rPr>
          <w:rFonts w:hint="eastAsia" w:ascii="仿宋" w:hAnsi="仿宋" w:eastAsia="仿宋"/>
          <w:sz w:val="24"/>
          <w:lang w:eastAsia="zh-CN"/>
        </w:rPr>
      </w:pPr>
      <w:r>
        <w:rPr>
          <w:rFonts w:hint="eastAsia" w:ascii="仿宋" w:hAnsi="仿宋" w:eastAsia="仿宋"/>
          <w:sz w:val="24"/>
          <w:lang w:eastAsia="zh-CN"/>
        </w:rPr>
        <w:t>联系地址：郑州市丰产路23号 河南省社科联学会处</w:t>
      </w:r>
      <w:r>
        <w:rPr>
          <w:rFonts w:hint="eastAsia" w:ascii="仿宋" w:hAnsi="仿宋" w:eastAsia="仿宋"/>
          <w:sz w:val="24"/>
          <w:lang w:val="en-US" w:eastAsia="zh-CN"/>
        </w:rPr>
        <w:t xml:space="preserve">   </w:t>
      </w:r>
      <w:r>
        <w:rPr>
          <w:rFonts w:hint="eastAsia" w:ascii="仿宋" w:hAnsi="仿宋" w:eastAsia="仿宋"/>
          <w:sz w:val="24"/>
          <w:lang w:eastAsia="zh-CN"/>
        </w:rPr>
        <w:t>邮 编：450002</w:t>
      </w:r>
    </w:p>
    <w:p>
      <w:pPr>
        <w:spacing w:line="480" w:lineRule="exact"/>
        <w:ind w:firstLine="600"/>
        <w:rPr>
          <w:rFonts w:hint="eastAsia" w:ascii="仿宋" w:hAnsi="仿宋" w:eastAsia="仿宋"/>
          <w:sz w:val="24"/>
          <w:lang w:eastAsia="zh-CN"/>
        </w:rPr>
      </w:pPr>
      <w:r>
        <w:rPr>
          <w:rFonts w:hint="eastAsia" w:ascii="仿宋" w:hAnsi="仿宋" w:eastAsia="仿宋"/>
          <w:sz w:val="24"/>
          <w:lang w:eastAsia="zh-CN"/>
        </w:rPr>
        <w:t>电子信箱：</w:t>
      </w:r>
      <w:r>
        <w:rPr>
          <w:rFonts w:hint="eastAsia" w:ascii="仿宋" w:hAnsi="仿宋" w:eastAsia="仿宋"/>
          <w:sz w:val="24"/>
          <w:lang w:val="en-US" w:eastAsia="zh-CN"/>
        </w:rPr>
        <w:t xml:space="preserve">hnsklketi@163.com  </w:t>
      </w:r>
      <w:r>
        <w:rPr>
          <w:rFonts w:hint="eastAsia" w:ascii="仿宋" w:hAnsi="仿宋" w:eastAsia="仿宋"/>
          <w:sz w:val="24"/>
          <w:lang w:eastAsia="zh-CN"/>
        </w:rPr>
        <w:t xml:space="preserve"> </w:t>
      </w:r>
      <w:r>
        <w:rPr>
          <w:rFonts w:hint="eastAsia" w:ascii="仿宋" w:hAnsi="仿宋" w:eastAsia="仿宋"/>
          <w:sz w:val="24"/>
          <w:lang w:val="en-US" w:eastAsia="zh-CN"/>
        </w:rPr>
        <w:t xml:space="preserve">    </w:t>
      </w:r>
      <w:r>
        <w:rPr>
          <w:rFonts w:hint="eastAsia" w:ascii="仿宋" w:hAnsi="仿宋" w:eastAsia="仿宋"/>
          <w:sz w:val="24"/>
          <w:lang w:eastAsia="zh-CN"/>
        </w:rPr>
        <w:t>电 话：0371</w:t>
      </w:r>
      <w:r>
        <w:rPr>
          <w:rFonts w:hint="eastAsia" w:ascii="仿宋" w:hAnsi="仿宋" w:eastAsia="仿宋"/>
          <w:sz w:val="24"/>
          <w:lang w:val="en-US" w:eastAsia="zh-CN"/>
        </w:rPr>
        <w:t>—</w:t>
      </w:r>
      <w:r>
        <w:rPr>
          <w:rFonts w:hint="eastAsia" w:ascii="仿宋" w:hAnsi="仿宋" w:eastAsia="仿宋"/>
          <w:sz w:val="24"/>
          <w:lang w:eastAsia="zh-CN"/>
        </w:rPr>
        <w:t>63936068</w:t>
      </w:r>
    </w:p>
    <w:p>
      <w:pPr>
        <w:spacing w:line="480" w:lineRule="exact"/>
        <w:ind w:firstLine="600"/>
        <w:rPr>
          <w:rFonts w:hint="eastAsia" w:ascii="仿宋" w:hAnsi="仿宋" w:eastAsia="仿宋"/>
          <w:sz w:val="24"/>
          <w:lang w:eastAsia="zh-CN"/>
        </w:rPr>
      </w:pPr>
    </w:p>
    <w:p>
      <w:pPr>
        <w:keepNext w:val="0"/>
        <w:keepLines w:val="0"/>
        <w:pageBreakBefore w:val="0"/>
        <w:widowControl w:val="0"/>
        <w:kinsoku/>
        <w:wordWrap/>
        <w:overflowPunct/>
        <w:topLinePunct w:val="0"/>
        <w:autoSpaceDE/>
        <w:autoSpaceDN/>
        <w:bidi w:val="0"/>
        <w:adjustRightInd/>
        <w:snapToGrid w:val="0"/>
        <w:spacing w:after="0" w:afterLines="0" w:line="680" w:lineRule="exact"/>
        <w:ind w:firstLine="880" w:firstLineChars="200"/>
        <w:textAlignment w:val="auto"/>
        <w:rPr>
          <w:rFonts w:hint="eastAsia" w:ascii="方正小标宋简体" w:hAnsi="方正小标宋简体" w:eastAsia="方正小标宋简体" w:cs="方正小标宋简体"/>
          <w:b w:val="0"/>
          <w:bCs w:val="0"/>
          <w:sz w:val="44"/>
          <w:lang w:eastAsia="zh-CN"/>
        </w:rPr>
      </w:pPr>
    </w:p>
    <w:p>
      <w:pPr>
        <w:keepNext w:val="0"/>
        <w:keepLines w:val="0"/>
        <w:pageBreakBefore w:val="0"/>
        <w:widowControl w:val="0"/>
        <w:kinsoku/>
        <w:wordWrap/>
        <w:overflowPunct/>
        <w:topLinePunct w:val="0"/>
        <w:autoSpaceDE/>
        <w:autoSpaceDN/>
        <w:bidi w:val="0"/>
        <w:adjustRightInd/>
        <w:snapToGrid w:val="0"/>
        <w:spacing w:after="0" w:afterLines="0" w:line="680" w:lineRule="exact"/>
        <w:ind w:firstLine="883" w:firstLineChars="200"/>
        <w:textAlignment w:val="auto"/>
        <w:rPr>
          <w:rFonts w:hint="eastAsia" w:ascii="方正小标宋简体" w:hAnsi="方正小标宋简体" w:eastAsia="方正小标宋简体" w:cs="方正小标宋简体"/>
          <w:b/>
          <w:bCs/>
          <w:sz w:val="44"/>
          <w:lang w:eastAsia="zh-CN"/>
        </w:rPr>
      </w:pPr>
    </w:p>
    <w:p>
      <w:pPr>
        <w:keepNext w:val="0"/>
        <w:keepLines w:val="0"/>
        <w:pageBreakBefore w:val="0"/>
        <w:widowControl w:val="0"/>
        <w:kinsoku/>
        <w:wordWrap/>
        <w:overflowPunct/>
        <w:topLinePunct w:val="0"/>
        <w:autoSpaceDE/>
        <w:autoSpaceDN/>
        <w:bidi w:val="0"/>
        <w:adjustRightInd/>
        <w:snapToGrid w:val="0"/>
        <w:spacing w:after="0" w:afterLines="0" w:line="680" w:lineRule="exact"/>
        <w:ind w:firstLine="880" w:firstLineChars="200"/>
        <w:textAlignment w:val="auto"/>
        <w:rPr>
          <w:rFonts w:hint="eastAsia" w:ascii="方正小标宋简体" w:hAnsi="方正小标宋简体" w:eastAsia="方正小标宋简体" w:cs="方正小标宋简体"/>
          <w:b w:val="0"/>
          <w:bCs w:val="0"/>
          <w:sz w:val="44"/>
          <w:lang w:eastAsia="zh-CN"/>
        </w:rPr>
      </w:pPr>
      <w:r>
        <w:rPr>
          <w:rFonts w:hint="eastAsia" w:ascii="方正小标宋简体" w:hAnsi="方正小标宋简体" w:eastAsia="方正小标宋简体" w:cs="方正小标宋简体"/>
          <w:b w:val="0"/>
          <w:bCs w:val="0"/>
          <w:sz w:val="44"/>
          <w:lang w:eastAsia="zh-CN"/>
        </w:rPr>
        <w:t>河南省社科联202</w:t>
      </w:r>
      <w:r>
        <w:rPr>
          <w:rFonts w:hint="eastAsia" w:ascii="方正小标宋简体" w:hAnsi="方正小标宋简体" w:eastAsia="方正小标宋简体" w:cs="方正小标宋简体"/>
          <w:b w:val="0"/>
          <w:bCs w:val="0"/>
          <w:sz w:val="44"/>
          <w:lang w:val="en-US" w:eastAsia="zh-CN"/>
        </w:rPr>
        <w:t>3</w:t>
      </w:r>
      <w:r>
        <w:rPr>
          <w:rFonts w:hint="eastAsia" w:ascii="方正小标宋简体" w:hAnsi="方正小标宋简体" w:eastAsia="方正小标宋简体" w:cs="方正小标宋简体"/>
          <w:b w:val="0"/>
          <w:bCs w:val="0"/>
          <w:sz w:val="44"/>
          <w:lang w:eastAsia="zh-CN"/>
        </w:rPr>
        <w:t>年度调研课题指南</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rPr>
          <w:rFonts w:hint="eastAsia"/>
          <w:b w:val="0"/>
          <w:bCs w:val="0"/>
          <w:sz w:val="44"/>
          <w:lang w:eastAsia="zh-CN"/>
        </w:rPr>
      </w:pPr>
      <w:r>
        <w:rPr>
          <w:rFonts w:hint="eastAsia" w:ascii="方正小标宋简体" w:hAnsi="方正小标宋简体" w:eastAsia="方正小标宋简体" w:cs="方正小标宋简体"/>
          <w:b w:val="0"/>
          <w:bCs w:val="0"/>
          <w:sz w:val="44"/>
          <w:lang w:eastAsia="zh-CN"/>
        </w:rPr>
        <w:t>参考选题（</w:t>
      </w:r>
      <w:r>
        <w:rPr>
          <w:rFonts w:hint="eastAsia" w:ascii="方正小标宋简体" w:hAnsi="方正小标宋简体" w:eastAsia="方正小标宋简体" w:cs="方正小标宋简体"/>
          <w:b w:val="0"/>
          <w:bCs w:val="0"/>
          <w:sz w:val="44"/>
          <w:lang w:val="en-US" w:eastAsia="zh-CN"/>
        </w:rPr>
        <w:t>222项</w:t>
      </w:r>
      <w:r>
        <w:rPr>
          <w:rFonts w:hint="eastAsia" w:ascii="方正小标宋简体" w:hAnsi="方正小标宋简体" w:eastAsia="方正小标宋简体" w:cs="方正小标宋简体"/>
          <w:b w:val="0"/>
          <w:bCs w:val="0"/>
          <w:sz w:val="44"/>
          <w:lang w:eastAsia="zh-CN"/>
        </w:rPr>
        <w:t>）</w:t>
      </w:r>
    </w:p>
    <w:p>
      <w:pPr>
        <w:numPr>
          <w:ilvl w:val="0"/>
          <w:numId w:val="0"/>
        </w:numPr>
        <w:rPr>
          <w:rFonts w:hint="eastAsia" w:ascii="仿宋_GB2312" w:hAnsi="仿宋_GB2312" w:eastAsia="仿宋_GB2312" w:cs="仿宋_GB2312"/>
          <w:b w:val="0"/>
          <w:bCs w:val="0"/>
          <w:color w:val="000000"/>
          <w:sz w:val="32"/>
          <w:szCs w:val="32"/>
          <w:lang w:val="en-US" w:eastAsia="zh-CN"/>
        </w:rPr>
      </w:pPr>
    </w:p>
    <w:p>
      <w:pPr>
        <w:ind w:left="661" w:hanging="480" w:hangingChars="150"/>
        <w:jc w:val="left"/>
        <w:outlineLvl w:val="0"/>
        <w:rPr>
          <w:rFonts w:hint="eastAsia" w:ascii="黑体" w:hAnsi="黑体" w:eastAsia="黑体" w:cs="黑体"/>
          <w:b w:val="0"/>
          <w:bCs/>
          <w:sz w:val="32"/>
          <w:szCs w:val="32"/>
        </w:rPr>
      </w:pPr>
      <w:r>
        <w:rPr>
          <w:rFonts w:hint="eastAsia" w:ascii="黑体" w:hAnsi="黑体" w:eastAsia="黑体" w:cs="黑体"/>
          <w:b w:val="0"/>
          <w:bCs/>
          <w:sz w:val="32"/>
          <w:szCs w:val="32"/>
        </w:rPr>
        <w:t>马列·科社</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1.中国式现代化的中国特色和本质要求研究</w:t>
      </w:r>
    </w:p>
    <w:p>
      <w:pP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2.中国式现代化的评价指标与发展规律研究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3.以中国式现代化全面推进中华民族伟大复兴的理论与实践研究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4.中国式现代化建设中传承中华文明的内涵与价值研究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5.习近平新时代中国特色社会主义思想是中华文化和中国精神的时代精华研究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6.以“两个结合”继续推进马克思主义中国化时代化研究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7.开辟马克思主义中国化时代化新境界的基本原则和路径方法研究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8.“十个明确”的内在逻辑研究</w:t>
      </w:r>
    </w:p>
    <w:p>
      <w:pP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9.“两个确立”与新时代十年伟大变革研究</w:t>
      </w:r>
    </w:p>
    <w:p>
      <w:pP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10.深化对“五个必由之路”规律性认识研究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11.中华优秀传统文化与科学社会主义价值观主张的高度契合性研究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12.构建主流意识形态认同机制研究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13.习近平新时代中国特色社会主义思想的河南实践研究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14.中国式现代化的河南实践研究</w:t>
      </w:r>
    </w:p>
    <w:p>
      <w:pPr>
        <w:rPr>
          <w:rFonts w:hint="eastAsia" w:ascii="黑体" w:hAnsi="黑体" w:eastAsia="黑体" w:cs="黑体"/>
          <w:b w:val="0"/>
          <w:bCs w:val="0"/>
          <w:sz w:val="32"/>
          <w:szCs w:val="32"/>
        </w:rPr>
      </w:pPr>
    </w:p>
    <w:p>
      <w:pPr>
        <w:ind w:left="661" w:hanging="480" w:hangingChars="150"/>
        <w:jc w:val="left"/>
        <w:outlineLvl w:val="0"/>
        <w:rPr>
          <w:rFonts w:hint="eastAsia" w:ascii="黑体" w:hAnsi="黑体" w:eastAsia="黑体" w:cs="黑体"/>
          <w:b w:val="0"/>
          <w:bCs/>
          <w:sz w:val="32"/>
          <w:szCs w:val="32"/>
        </w:rPr>
      </w:pPr>
      <w:r>
        <w:rPr>
          <w:rFonts w:hint="eastAsia" w:ascii="黑体" w:hAnsi="黑体" w:eastAsia="黑体" w:cs="黑体"/>
          <w:b w:val="0"/>
          <w:bCs/>
          <w:sz w:val="32"/>
          <w:szCs w:val="32"/>
        </w:rPr>
        <w:t>党史·党建</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15.弘扬以伟大建党精神为源头的中国共产党人精神谱系研究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16.中国共产党所面对的大党独有难题及应对策略研究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17.“三个务必”的价值意蕴与实践要求</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18.中国共产党坚定历史自信增强历史主动的成功经验和现实意义研究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19.新时代中国共产党推进理论创新的理论和实践逻辑研究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20.健全全面从严治党体系研究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21.全面增强党组织政治功能和组织功能研究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22.党的自我革命制度规范体系研究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23.新时代加强党的领导力途径和机制研究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24.加强干部斗争精神和斗争本领养成研究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25.新时代中国共产党坚持发扬斗争精神研究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26.推动党史学习教育常态化长效化机制研究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27.新时代党的群众工作创新研究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28.提高一体推进“三不腐”能力和水平问题研究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29.重大项目建设中党建与实际工作融合研究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30.新业态党组织建设的现实困境与优化路径研究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31.有效推进社会组织党建的路径研究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32.社区党建引领机制建设研究</w:t>
      </w:r>
    </w:p>
    <w:p>
      <w:pP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33.</w:t>
      </w:r>
      <w:r>
        <w:rPr>
          <w:rFonts w:hint="default" w:ascii="仿宋_GB2312" w:hAnsi="仿宋_GB2312" w:eastAsia="仿宋_GB2312" w:cs="仿宋_GB2312"/>
          <w:kern w:val="0"/>
          <w:sz w:val="32"/>
          <w:szCs w:val="32"/>
          <w:lang w:val="en-US" w:eastAsia="zh-CN"/>
        </w:rPr>
        <w:t>韧性治理视角下城市社区基层党组织建设路径研究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34.新时代传承弘扬红旗渠精神研究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35.河南省红色文化资源保护利用研究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36.乡村振兴背景下河南农村基层带头人队伍建设路径研究 </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37.“清廉河南”建设的目标取向与实现路径研究</w:t>
      </w:r>
    </w:p>
    <w:p>
      <w:pPr>
        <w:pStyle w:val="6"/>
        <w:numPr>
          <w:ilvl w:val="0"/>
          <w:numId w:val="0"/>
        </w:numPr>
        <w:ind w:leftChars="0"/>
        <w:rPr>
          <w:rFonts w:hint="eastAsia" w:ascii="仿宋_GB2312" w:hAnsi="仿宋_GB2312" w:eastAsia="仿宋_GB2312" w:cs="仿宋_GB2312"/>
          <w:color w:val="FF0000"/>
          <w:sz w:val="32"/>
          <w:szCs w:val="32"/>
          <w:lang w:val="en-US" w:eastAsia="zh-CN"/>
        </w:rPr>
      </w:pPr>
    </w:p>
    <w:p>
      <w:pPr>
        <w:ind w:left="661" w:hanging="480" w:hangingChars="150"/>
        <w:jc w:val="left"/>
        <w:outlineLvl w:val="0"/>
        <w:rPr>
          <w:rFonts w:hint="eastAsia" w:ascii="黑体" w:hAnsi="黑体" w:eastAsia="黑体" w:cs="黑体"/>
          <w:b w:val="0"/>
          <w:bCs/>
          <w:sz w:val="32"/>
          <w:szCs w:val="32"/>
        </w:rPr>
      </w:pPr>
      <w:r>
        <w:rPr>
          <w:rFonts w:hint="eastAsia" w:ascii="黑体" w:hAnsi="黑体" w:eastAsia="黑体" w:cs="黑体"/>
          <w:b w:val="0"/>
          <w:bCs/>
          <w:sz w:val="32"/>
          <w:szCs w:val="32"/>
        </w:rPr>
        <w:fldChar w:fldCharType="begin"/>
      </w:r>
      <w:r>
        <w:rPr>
          <w:rFonts w:hint="eastAsia" w:ascii="黑体" w:hAnsi="黑体" w:eastAsia="黑体" w:cs="黑体"/>
          <w:b w:val="0"/>
          <w:bCs/>
          <w:sz w:val="32"/>
          <w:szCs w:val="32"/>
        </w:rPr>
        <w:instrText xml:space="preserve"> HYPERLINK \l "_Toc60086856" </w:instrText>
      </w:r>
      <w:r>
        <w:rPr>
          <w:rFonts w:hint="eastAsia" w:ascii="黑体" w:hAnsi="黑体" w:eastAsia="黑体" w:cs="黑体"/>
          <w:b w:val="0"/>
          <w:bCs/>
          <w:sz w:val="32"/>
          <w:szCs w:val="32"/>
        </w:rPr>
        <w:fldChar w:fldCharType="separate"/>
      </w:r>
      <w:r>
        <w:rPr>
          <w:rFonts w:hint="eastAsia" w:ascii="黑体" w:hAnsi="黑体" w:eastAsia="黑体" w:cs="黑体"/>
          <w:b w:val="0"/>
          <w:bCs/>
          <w:sz w:val="32"/>
          <w:szCs w:val="32"/>
        </w:rPr>
        <w:t>哲学</w:t>
      </w:r>
      <w:r>
        <w:rPr>
          <w:rFonts w:hint="eastAsia" w:ascii="黑体" w:hAnsi="黑体" w:eastAsia="黑体" w:cs="黑体"/>
          <w:b w:val="0"/>
          <w:bCs/>
          <w:sz w:val="32"/>
          <w:szCs w:val="32"/>
        </w:rPr>
        <w:fldChar w:fldCharType="end"/>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38.习近平新时代中国特色社会主义思想的世界观和方法论研究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39.习近平新时代中国特色社会主义思想的立场、观点和方法哲学研究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40.中国式现代化的哲学研究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41.人类文明新形态的哲学研究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42.深入推进“两个结合”的哲学研究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43.构建中国自主知识体系的哲学研究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44.共同富裕的哲学研究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45.人工智能伦理研究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46.生态文明的道德哲学研究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47.中华传统美德的传承、弘扬和现代转化研究</w:t>
      </w:r>
    </w:p>
    <w:p>
      <w:pPr>
        <w:rPr>
          <w:rFonts w:hint="eastAsia" w:ascii="仿宋_GB2312" w:hAnsi="仿宋_GB2312" w:eastAsia="仿宋_GB2312" w:cs="仿宋_GB2312"/>
          <w:kern w:val="0"/>
          <w:sz w:val="32"/>
          <w:szCs w:val="32"/>
          <w:lang w:val="en-US" w:eastAsia="zh-CN"/>
        </w:rPr>
      </w:pPr>
    </w:p>
    <w:p>
      <w:pPr>
        <w:ind w:left="661" w:hanging="480" w:hangingChars="150"/>
        <w:jc w:val="left"/>
        <w:outlineLvl w:val="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政治学</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48.全过程人民民主的治理效能与实现路径</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49.制度优势转化为治理效能途径机制研究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50.推进共同富裕的政府机制和公共政策研究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51.中国特色社会主义政治制度的传统文化基因研究</w:t>
      </w:r>
    </w:p>
    <w:p>
      <w:pP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52.完善基层直接民主制度体系和工作体系研究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53.应用大数据技术提升政府治理效能研究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54.构建生态文明制度体系研究</w:t>
      </w:r>
    </w:p>
    <w:p>
      <w:pPr>
        <w:rPr>
          <w:rFonts w:hint="eastAsia" w:ascii="黑体" w:hAnsi="黑体" w:eastAsia="黑体" w:cs="黑体"/>
          <w:color w:val="000000"/>
          <w:sz w:val="32"/>
          <w:szCs w:val="32"/>
        </w:rPr>
      </w:pPr>
    </w:p>
    <w:p>
      <w:pPr>
        <w:rPr>
          <w:rFonts w:hint="eastAsia" w:ascii="黑体" w:hAnsi="黑体" w:eastAsia="黑体" w:cs="黑体"/>
          <w:color w:val="000000"/>
          <w:sz w:val="32"/>
          <w:szCs w:val="32"/>
        </w:rPr>
      </w:pPr>
      <w:r>
        <w:rPr>
          <w:rFonts w:hint="eastAsia" w:ascii="黑体" w:hAnsi="黑体" w:eastAsia="黑体" w:cs="黑体"/>
          <w:color w:val="000000"/>
          <w:sz w:val="32"/>
          <w:szCs w:val="32"/>
        </w:rPr>
        <w:fldChar w:fldCharType="begin"/>
      </w:r>
      <w:r>
        <w:rPr>
          <w:rFonts w:hint="eastAsia" w:ascii="黑体" w:hAnsi="黑体" w:eastAsia="黑体" w:cs="黑体"/>
          <w:color w:val="000000"/>
          <w:sz w:val="32"/>
          <w:szCs w:val="32"/>
        </w:rPr>
        <w:instrText xml:space="preserve"> HYPERLINK \l "_Toc60086861" </w:instrText>
      </w:r>
      <w:r>
        <w:rPr>
          <w:rFonts w:hint="eastAsia" w:ascii="黑体" w:hAnsi="黑体" w:eastAsia="黑体" w:cs="黑体"/>
          <w:color w:val="000000"/>
          <w:sz w:val="32"/>
          <w:szCs w:val="32"/>
        </w:rPr>
        <w:fldChar w:fldCharType="separate"/>
      </w:r>
      <w:r>
        <w:rPr>
          <w:rFonts w:hint="eastAsia" w:ascii="黑体" w:hAnsi="黑体" w:eastAsia="黑体" w:cs="黑体"/>
          <w:color w:val="000000"/>
          <w:sz w:val="32"/>
          <w:szCs w:val="32"/>
        </w:rPr>
        <w:t>法学</w:t>
      </w:r>
      <w:r>
        <w:rPr>
          <w:rFonts w:hint="eastAsia" w:ascii="黑体" w:hAnsi="黑体" w:eastAsia="黑体" w:cs="黑体"/>
          <w:color w:val="000000"/>
          <w:sz w:val="32"/>
          <w:szCs w:val="32"/>
        </w:rPr>
        <w:fldChar w:fldCharType="end"/>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55.构建新发展格局的法律制度保障</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56.推动党内法规制度建设高质量发展研究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57.民法典实施中的重大疑难问题研究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58.法治政府建设标准和措施研究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59.共同富裕背景下数据收益分配法律机制研究</w:t>
      </w:r>
    </w:p>
    <w:p>
      <w:pP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60.提升社会治理法治化水平研究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61.河南建设覆盖城乡的现代公共法律服务体系研究</w:t>
      </w:r>
    </w:p>
    <w:p>
      <w:pP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62.深化行政执法体制改革研究</w:t>
      </w:r>
    </w:p>
    <w:p>
      <w:pP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63.加强重点领域、新兴领域、涉外领域立法研究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64.防范金融风险与金融监管法体系化研究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65.个人信息侵权损害赔偿责任研究 </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66.网络直播营销的行政法规制研究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67.人工智能发展中的重大安全风险防范体系研究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68.“数字弱势群体”的权益保护机制研究</w:t>
      </w:r>
    </w:p>
    <w:p>
      <w:pPr>
        <w:rPr>
          <w:rFonts w:hint="eastAsia" w:ascii="黑体" w:hAnsi="黑体" w:eastAsia="黑体" w:cs="宋体"/>
          <w:b w:val="0"/>
          <w:bCs w:val="0"/>
          <w:sz w:val="32"/>
          <w:szCs w:val="32"/>
        </w:rPr>
      </w:pPr>
    </w:p>
    <w:p>
      <w:pPr>
        <w:rPr>
          <w:rFonts w:hint="eastAsia" w:ascii="黑体" w:hAnsi="黑体" w:eastAsia="黑体" w:cs="宋体"/>
          <w:b w:val="0"/>
          <w:bCs w:val="0"/>
          <w:sz w:val="32"/>
          <w:szCs w:val="32"/>
        </w:rPr>
      </w:pPr>
      <w:r>
        <w:rPr>
          <w:rFonts w:hint="eastAsia" w:ascii="黑体" w:hAnsi="黑体" w:eastAsia="黑体" w:cs="宋体"/>
          <w:b w:val="0"/>
          <w:bCs w:val="0"/>
          <w:sz w:val="32"/>
          <w:szCs w:val="32"/>
        </w:rPr>
        <w:t>社会学</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69.健全多层次社会保障体系研究</w:t>
      </w:r>
    </w:p>
    <w:p>
      <w:pP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70.新时代公共安全应急框架体系研究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71.支持和发展就业新形态问题研究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72.新业态经济与劳动者社会结构变迁研究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73.促进困难群体共同富裕的社会政策体系建设研究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74.建立生育支持政策体系研究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75.河南高校毕业生就业问题研究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76.后疫情时代社区心理健康服务的策略探析</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77.后疫情时代社区养老服务体系研究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78.基层党建引领城市社区治理机制研究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79.“新一线城市”青年友好型社区的建设路径研究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80.构建高质量养老服务体系、健康支撑体系研究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81.多系统互动智慧养老服务体系的构建与应用对策</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82.河南深化医药卫生体制改革研究</w:t>
      </w:r>
    </w:p>
    <w:p>
      <w:pPr>
        <w:rPr>
          <w:rFonts w:hint="eastAsia" w:ascii="仿宋_GB2312" w:hAnsi="仿宋_GB2312" w:eastAsia="仿宋_GB2312" w:cs="仿宋_GB2312"/>
          <w:kern w:val="0"/>
          <w:sz w:val="32"/>
          <w:szCs w:val="32"/>
          <w:lang w:val="en-US" w:eastAsia="zh-CN"/>
        </w:rPr>
      </w:pPr>
    </w:p>
    <w:p>
      <w:pPr>
        <w:rPr>
          <w:rFonts w:hint="eastAsia" w:ascii="黑体" w:hAnsi="黑体" w:eastAsia="黑体" w:cs="宋体"/>
          <w:b w:val="0"/>
          <w:bCs w:val="0"/>
          <w:sz w:val="32"/>
          <w:szCs w:val="32"/>
          <w:lang w:eastAsia="zh-CN"/>
        </w:rPr>
      </w:pPr>
      <w:r>
        <w:rPr>
          <w:rFonts w:hint="eastAsia" w:ascii="黑体" w:hAnsi="黑体" w:eastAsia="黑体" w:cs="宋体"/>
          <w:b w:val="0"/>
          <w:bCs w:val="0"/>
          <w:sz w:val="32"/>
          <w:szCs w:val="32"/>
          <w:lang w:eastAsia="zh-CN"/>
        </w:rPr>
        <w:t>教育学</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83.推动理想信念教育常态化制度化研究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84.新时代思政课教育教学规律、学生认知规律和接受特点研究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85.新时代大中小学思想政治教育一体化研究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86.新媒体环境下高校思想政治教育的创新研究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87.党的二十大精神融入高校思政课教学研究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88.在社会大课堂中讲好“大思政课”研究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89.教师课程思政素养提升研究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90.科教融合视域下创新问题研究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91.乡村教师职业发展状况调查研究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92.新时代民办教育服务社会途径研究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93.新时代大学生思想、心理及关心的热点难点问题研究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94.教育帮扶服务乡村振兴的长效机制与策略研究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95.河南实施有组织科研的平台构建与保障措施</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96.河南省“双减”政策推进策略研究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97.河南高校开展“四史” 学习教育常态化长效化机制研究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98.河南省乡村家庭教育振兴机制与路径研究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99.河南教育现代化路径研究</w:t>
      </w:r>
    </w:p>
    <w:p>
      <w:pPr>
        <w:rPr>
          <w:rFonts w:hint="eastAsia" w:ascii="黑体" w:hAnsi="黑体" w:eastAsia="黑体" w:cs="宋体"/>
          <w:sz w:val="32"/>
          <w:szCs w:val="32"/>
        </w:rPr>
      </w:pPr>
    </w:p>
    <w:p>
      <w:pPr>
        <w:rPr>
          <w:rFonts w:hint="eastAsia" w:ascii="黑体" w:hAnsi="黑体" w:eastAsia="黑体" w:cs="宋体"/>
          <w:sz w:val="32"/>
          <w:szCs w:val="32"/>
        </w:rPr>
      </w:pPr>
      <w:r>
        <w:rPr>
          <w:rFonts w:hint="eastAsia" w:ascii="黑体" w:hAnsi="黑体" w:eastAsia="黑体" w:cs="宋体"/>
          <w:sz w:val="32"/>
          <w:szCs w:val="32"/>
        </w:rPr>
        <w:fldChar w:fldCharType="begin"/>
      </w:r>
      <w:r>
        <w:rPr>
          <w:rFonts w:hint="eastAsia" w:ascii="黑体" w:hAnsi="黑体" w:eastAsia="黑体" w:cs="宋体"/>
          <w:sz w:val="32"/>
          <w:szCs w:val="32"/>
        </w:rPr>
        <w:instrText xml:space="preserve"> HYPERLINK \l "_Toc60086870" </w:instrText>
      </w:r>
      <w:r>
        <w:rPr>
          <w:rFonts w:hint="eastAsia" w:ascii="黑体" w:hAnsi="黑体" w:eastAsia="黑体" w:cs="宋体"/>
          <w:sz w:val="32"/>
          <w:szCs w:val="32"/>
        </w:rPr>
        <w:fldChar w:fldCharType="separate"/>
      </w:r>
      <w:r>
        <w:rPr>
          <w:rFonts w:hint="eastAsia" w:ascii="黑体" w:hAnsi="黑体" w:eastAsia="黑体" w:cs="宋体"/>
          <w:sz w:val="32"/>
          <w:szCs w:val="32"/>
        </w:rPr>
        <w:t>文学</w:t>
      </w:r>
      <w:r>
        <w:rPr>
          <w:rFonts w:hint="eastAsia" w:ascii="黑体" w:hAnsi="黑体" w:eastAsia="黑体" w:cs="宋体"/>
          <w:sz w:val="32"/>
          <w:szCs w:val="32"/>
        </w:rPr>
        <w:fldChar w:fldCharType="end"/>
      </w:r>
      <w:r>
        <w:rPr>
          <w:rFonts w:hint="eastAsia" w:ascii="黑体" w:hAnsi="黑体" w:eastAsia="黑体" w:cs="宋体"/>
          <w:sz w:val="32"/>
          <w:szCs w:val="32"/>
        </w:rPr>
        <w:t>·</w:t>
      </w:r>
      <w:r>
        <w:rPr>
          <w:rFonts w:hint="eastAsia" w:ascii="黑体" w:hAnsi="黑体" w:eastAsia="黑体" w:cs="宋体"/>
          <w:sz w:val="32"/>
          <w:szCs w:val="32"/>
        </w:rPr>
        <w:fldChar w:fldCharType="begin"/>
      </w:r>
      <w:r>
        <w:rPr>
          <w:rFonts w:hint="eastAsia" w:ascii="黑体" w:hAnsi="黑体" w:eastAsia="黑体" w:cs="宋体"/>
          <w:sz w:val="32"/>
          <w:szCs w:val="32"/>
        </w:rPr>
        <w:instrText xml:space="preserve"> HYPERLINK \l "_Toc60086872" </w:instrText>
      </w:r>
      <w:r>
        <w:rPr>
          <w:rFonts w:hint="eastAsia" w:ascii="黑体" w:hAnsi="黑体" w:eastAsia="黑体" w:cs="宋体"/>
          <w:sz w:val="32"/>
          <w:szCs w:val="32"/>
        </w:rPr>
        <w:fldChar w:fldCharType="separate"/>
      </w:r>
      <w:r>
        <w:rPr>
          <w:rFonts w:hint="eastAsia" w:ascii="黑体" w:hAnsi="黑体" w:eastAsia="黑体" w:cs="宋体"/>
          <w:sz w:val="32"/>
          <w:szCs w:val="32"/>
        </w:rPr>
        <w:t>语言学</w:t>
      </w:r>
      <w:r>
        <w:rPr>
          <w:rFonts w:hint="eastAsia" w:ascii="黑体" w:hAnsi="黑体" w:eastAsia="黑体" w:cs="宋体"/>
          <w:sz w:val="32"/>
          <w:szCs w:val="32"/>
        </w:rPr>
        <w:fldChar w:fldCharType="end"/>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100.中国文学的跨学科研究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101.新时代河南文学的乡土书写研究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102.新时代河南文学的地域书写研究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103.当代河南文学经典化研究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104.网络语言的规范化研究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105.网络流行语与社会心理研究</w:t>
      </w:r>
    </w:p>
    <w:p>
      <w:pPr>
        <w:rPr>
          <w:rFonts w:hint="eastAsia" w:ascii="黑体" w:hAnsi="黑体" w:eastAsia="黑体" w:cs="宋体"/>
          <w:b w:val="0"/>
          <w:bCs w:val="0"/>
          <w:sz w:val="32"/>
          <w:szCs w:val="32"/>
        </w:rPr>
      </w:pPr>
    </w:p>
    <w:p>
      <w:pPr>
        <w:rPr>
          <w:rFonts w:hint="eastAsia" w:ascii="黑体" w:hAnsi="黑体" w:eastAsia="黑体" w:cs="宋体"/>
          <w:b w:val="0"/>
          <w:bCs w:val="0"/>
          <w:sz w:val="32"/>
          <w:szCs w:val="32"/>
        </w:rPr>
      </w:pPr>
      <w:r>
        <w:rPr>
          <w:rFonts w:hint="eastAsia" w:ascii="黑体" w:hAnsi="黑体" w:eastAsia="黑体" w:cs="宋体"/>
          <w:b w:val="0"/>
          <w:bCs w:val="0"/>
          <w:sz w:val="32"/>
          <w:szCs w:val="32"/>
        </w:rPr>
        <w:fldChar w:fldCharType="begin"/>
      </w:r>
      <w:r>
        <w:rPr>
          <w:rFonts w:hint="eastAsia" w:ascii="黑体" w:hAnsi="黑体" w:eastAsia="黑体" w:cs="宋体"/>
          <w:b w:val="0"/>
          <w:bCs w:val="0"/>
          <w:sz w:val="32"/>
          <w:szCs w:val="32"/>
        </w:rPr>
        <w:instrText xml:space="preserve"> HYPERLINK \l "_Toc60086873" </w:instrText>
      </w:r>
      <w:r>
        <w:rPr>
          <w:rFonts w:hint="eastAsia" w:ascii="黑体" w:hAnsi="黑体" w:eastAsia="黑体" w:cs="宋体"/>
          <w:b w:val="0"/>
          <w:bCs w:val="0"/>
          <w:sz w:val="32"/>
          <w:szCs w:val="32"/>
        </w:rPr>
        <w:fldChar w:fldCharType="separate"/>
      </w:r>
      <w:r>
        <w:rPr>
          <w:rFonts w:hint="eastAsia" w:ascii="黑体" w:hAnsi="黑体" w:eastAsia="黑体" w:cs="宋体"/>
          <w:b w:val="0"/>
          <w:bCs w:val="0"/>
          <w:sz w:val="32"/>
          <w:szCs w:val="32"/>
        </w:rPr>
        <w:t>新闻传播学</w:t>
      </w:r>
      <w:r>
        <w:rPr>
          <w:rFonts w:hint="eastAsia" w:ascii="黑体" w:hAnsi="黑体" w:eastAsia="黑体" w:cs="宋体"/>
          <w:b w:val="0"/>
          <w:bCs w:val="0"/>
          <w:sz w:val="32"/>
          <w:szCs w:val="32"/>
        </w:rPr>
        <w:fldChar w:fldCharType="end"/>
      </w:r>
      <w:r>
        <w:rPr>
          <w:rFonts w:hint="eastAsia" w:ascii="黑体" w:hAnsi="黑体" w:eastAsia="黑体" w:cs="宋体"/>
          <w:b w:val="0"/>
          <w:bCs w:val="0"/>
          <w:sz w:val="32"/>
          <w:szCs w:val="32"/>
        </w:rPr>
        <w:t>·</w:t>
      </w:r>
      <w:r>
        <w:rPr>
          <w:rFonts w:hint="eastAsia" w:ascii="黑体" w:hAnsi="黑体" w:eastAsia="黑体" w:cs="宋体"/>
          <w:b w:val="0"/>
          <w:bCs w:val="0"/>
          <w:sz w:val="32"/>
          <w:szCs w:val="32"/>
        </w:rPr>
        <w:fldChar w:fldCharType="begin"/>
      </w:r>
      <w:r>
        <w:rPr>
          <w:rFonts w:hint="eastAsia" w:ascii="黑体" w:hAnsi="黑体" w:eastAsia="黑体" w:cs="宋体"/>
          <w:b w:val="0"/>
          <w:bCs w:val="0"/>
          <w:sz w:val="32"/>
          <w:szCs w:val="32"/>
        </w:rPr>
        <w:instrText xml:space="preserve"> HYPERLINK \l "_Toc60086874" </w:instrText>
      </w:r>
      <w:r>
        <w:rPr>
          <w:rFonts w:hint="eastAsia" w:ascii="黑体" w:hAnsi="黑体" w:eastAsia="黑体" w:cs="宋体"/>
          <w:b w:val="0"/>
          <w:bCs w:val="0"/>
          <w:sz w:val="32"/>
          <w:szCs w:val="32"/>
        </w:rPr>
        <w:fldChar w:fldCharType="separate"/>
      </w:r>
      <w:r>
        <w:rPr>
          <w:rFonts w:hint="eastAsia" w:ascii="黑体" w:hAnsi="黑体" w:eastAsia="黑体" w:cs="宋体"/>
          <w:b w:val="0"/>
          <w:bCs w:val="0"/>
          <w:sz w:val="32"/>
          <w:szCs w:val="32"/>
        </w:rPr>
        <w:t>图书馆</w:t>
      </w:r>
      <w:r>
        <w:rPr>
          <w:rFonts w:hint="eastAsia" w:ascii="黑体" w:hAnsi="黑体" w:eastAsia="黑体" w:cs="宋体"/>
          <w:b w:val="0"/>
          <w:bCs w:val="0"/>
          <w:sz w:val="32"/>
          <w:szCs w:val="32"/>
          <w:lang w:eastAsia="zh-CN"/>
        </w:rPr>
        <w:t>学</w:t>
      </w:r>
      <w:r>
        <w:rPr>
          <w:rFonts w:hint="eastAsia" w:ascii="黑体" w:hAnsi="黑体" w:eastAsia="黑体" w:cs="宋体"/>
          <w:b w:val="0"/>
          <w:bCs w:val="0"/>
          <w:sz w:val="32"/>
          <w:szCs w:val="32"/>
        </w:rPr>
        <w:fldChar w:fldCharType="end"/>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106.提升中华文明传播力和影响力研究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107.构建社会主义意识形态全媒体传播体系研究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108.智能新闻的发展现状、趋势及应对研究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109.网络文化圈群对互联网舆论的影响研究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110.重大突发事件中网络谣言的治理研究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111.新时代河南形象塑造研究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112.大数据时代河南网络舆情的传播与治理研究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113.“十四五”时期图书馆高质量发展的战略着力点与实现路径研究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114.图书馆数字创新生态系统的演化和治理研究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115.河南博物馆群建设发展研究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116.红色博物馆的社会教育探索研究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117.后疫情时代博物馆展览传播研究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118.河南省博物馆文创产业探究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119.“考古盲盒”现象研究</w:t>
      </w:r>
    </w:p>
    <w:p>
      <w:pPr>
        <w:rPr>
          <w:rFonts w:hint="eastAsia" w:ascii="宋体" w:hAnsi="宋体" w:eastAsia="宋体" w:cs="宋体"/>
          <w:sz w:val="32"/>
          <w:szCs w:val="32"/>
          <w:lang w:val="en-US" w:eastAsia="zh-CN"/>
        </w:rPr>
      </w:pPr>
    </w:p>
    <w:p>
      <w:pPr>
        <w:rPr>
          <w:rFonts w:hint="eastAsia" w:ascii="黑体" w:hAnsi="黑体" w:eastAsia="黑体" w:cs="宋体"/>
          <w:b w:val="0"/>
          <w:bCs w:val="0"/>
          <w:sz w:val="32"/>
          <w:szCs w:val="32"/>
          <w:lang w:val="en-US" w:eastAsia="zh-CN"/>
        </w:rPr>
      </w:pPr>
      <w:r>
        <w:rPr>
          <w:rFonts w:hint="eastAsia" w:ascii="黑体" w:hAnsi="黑体" w:eastAsia="黑体" w:cs="宋体"/>
          <w:b w:val="0"/>
          <w:bCs w:val="0"/>
          <w:sz w:val="32"/>
          <w:szCs w:val="32"/>
          <w:lang w:val="en-US" w:eastAsia="zh-CN"/>
        </w:rPr>
        <w:t>经济学</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120.“十个河南”研究（围绕技能河南、设计河南、信用河南、标准河南、体育河南、书香河南、法治河南、平安河南、美丽河南、清廉河南分领域进行研究）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121.实施创新驱动科教兴省人才强省战略研究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122.优势再造战略研究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123.数字化转型战略研究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124.换道领跑战略研究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125.文旅文创融合战略研究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126.以人为核心的新型城镇化战略研究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127.乡村振兴战略研究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128.绿色低碳转型战略研究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129.制度型开放战略研究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130.全面深化改革战略研究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131.推动河南经济质的有效提升和量的合理增长问题研究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132.加快河南数字经济与实体经济深度融合研究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133.河南省构建经济发展安全格局研究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134.实施河南自由贸易试验区提升战略研究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135.河南建设国家营商环境创新试点城市研究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136.河南持续打造一流营商环境对策研究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137.河南推进共同富裕重点难点问题研究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138.共同富裕背景下的河南城乡居民收入问题研究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139.着力提升河南产业链供应链韧性和安全水平研究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140.推动河南创新链产业链资金链人才链深度融合研究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141.加快建设具有河南特色的现代化产业体系研究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142.河南加快未来产业破冰抢滩的战略研究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143.河南推进养老产业高质量发展对策研究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144.河南实现中医药高质量发展研究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145.河南加快发展临港经济研究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146.河南加快发展口岸经济研究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147.培育河南外贸新业态研究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148.河南加快发展绿色低碳产业研究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149.河南宜居城市建设研究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150.建设数字孪生城市研究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151.做大做强城市经济研究</w:t>
      </w:r>
    </w:p>
    <w:p>
      <w:pP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152.河南统筹疫情防控与经济社会发展研究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153.后疫情时代河南省外贸持续发展路径研究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154.后疫情时代河南消费提振策略研究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155.中原城市群一体化发展研究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156.加快郑州国家中心城市建设研究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157.洛阳中原城市群副中心城市建设研究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158.南阳建设区域副中心城市研究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159.河南省革命老区振兴发展研究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160.做强做优做大河南国资国企研究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161.促进河南民营经济发展壮大的思路和举措研究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162.河南加快培育头雁企业和专精特新企业发展研究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163.河南省中小企业内部控制缺陷及优化机制研究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164.河南小微企业纾困措施研究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165.河南有效防范化解重大经济金融风险研究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166.强化金融稳定保障体系研究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167.促进河南房地产业良性循环和健康发展研究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168.河南打造国家级数字产业集群研究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169.河南构建全国算力高地研究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170.河南高校战略科技力量建设研究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171.促进教育与科技创新、经济发展更好结合研究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172.完善河南重点群体就业创业支持体系研究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173.河南多渠道增加中低收入群体要素收入路径研究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174.河南生态保护补偿制度的实施现状和优化研究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175.河南健全生态产品价值实现机制研究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176.推进南水北调后续工程高质量发展研究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177.新时代河南建设农业强省的思路与对策研究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178.面向2035年的农业结构优化与路径研究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179.河南保障国家粮食安全与现代种业发展研究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180.河南粮食生产高质量发展路径研究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181.河南实施乡村建设行动面临的主要问题和推进举措</w:t>
      </w:r>
    </w:p>
    <w:p>
      <w:pPr>
        <w:rPr>
          <w:rFonts w:hint="eastAsia" w:ascii="华文楷体" w:hAnsi="华文楷体" w:eastAsia="华文楷体" w:cs="仿宋_GB2312"/>
          <w:kern w:val="0"/>
          <w:sz w:val="32"/>
          <w:szCs w:val="32"/>
          <w:lang w:val="en-US" w:eastAsia="zh-CN"/>
        </w:rPr>
      </w:pPr>
      <w:r>
        <w:rPr>
          <w:rFonts w:hint="eastAsia" w:ascii="仿宋_GB2312" w:hAnsi="仿宋_GB2312" w:eastAsia="仿宋_GB2312" w:cs="仿宋_GB2312"/>
          <w:kern w:val="0"/>
          <w:sz w:val="32"/>
          <w:szCs w:val="32"/>
          <w:lang w:val="en-US" w:eastAsia="zh-CN"/>
        </w:rPr>
        <w:t>182.河南乡村振兴面临的困境与对策研究——</w:t>
      </w:r>
      <w:r>
        <w:rPr>
          <w:rFonts w:hint="eastAsia" w:ascii="华文楷体" w:hAnsi="华文楷体" w:eastAsia="华文楷体" w:cs="仿宋_GB2312"/>
          <w:kern w:val="0"/>
          <w:sz w:val="32"/>
          <w:szCs w:val="32"/>
          <w:lang w:val="en-US" w:eastAsia="zh-CN"/>
        </w:rPr>
        <w:t>以河南省县域乡村为例</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183.新发展格局下河南县域经济成高原研究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184.县域城乡融合发展与乡村振兴研究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185.河南传统农区产业转移特征及趋势调研（</w:t>
      </w:r>
      <w:r>
        <w:rPr>
          <w:rFonts w:hint="eastAsia" w:ascii="华文楷体" w:hAnsi="华文楷体" w:eastAsia="华文楷体" w:cs="仿宋_GB2312"/>
          <w:kern w:val="0"/>
          <w:sz w:val="32"/>
          <w:szCs w:val="32"/>
          <w:lang w:val="en-US" w:eastAsia="zh-CN"/>
        </w:rPr>
        <w:t>以一个地级市或一两个代表性县为样本</w:t>
      </w:r>
      <w:r>
        <w:rPr>
          <w:rFonts w:hint="eastAsia" w:ascii="仿宋_GB2312" w:hAnsi="仿宋_GB2312" w:eastAsia="仿宋_GB2312" w:cs="仿宋_GB2312"/>
          <w:kern w:val="0"/>
          <w:sz w:val="32"/>
          <w:szCs w:val="32"/>
          <w:lang w:val="en-US" w:eastAsia="zh-CN"/>
        </w:rPr>
        <w:t>）</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186.新发展格局下河南土地流转的现状调查研究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187.建设宜居宜业和美乡村内涵特征及建设路径研究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188.增强河南脱贫地区和脱贫群众内生发展动力研究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189.河南发展新型农村集体经济面临的问题和对策研究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190.河南推进农村集体经营性建设用地入市改革试点研究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191.河南推进农村宅基地制度改革试点研究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192.进一步做强河南县域特色产业研究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193.数字乡村建设技术模式和政策研究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194.河南农村电商发展策略研究</w:t>
      </w:r>
    </w:p>
    <w:p>
      <w:pPr>
        <w:rPr>
          <w:rFonts w:hint="eastAsia" w:ascii="仿宋_GB2312" w:hAnsi="仿宋_GB2312" w:eastAsia="仿宋_GB2312" w:cs="仿宋_GB2312"/>
          <w:kern w:val="0"/>
          <w:sz w:val="32"/>
          <w:szCs w:val="32"/>
          <w:lang w:val="en-US" w:eastAsia="zh-CN"/>
        </w:rPr>
      </w:pPr>
    </w:p>
    <w:p>
      <w:pPr>
        <w:rPr>
          <w:rFonts w:hint="eastAsia" w:ascii="黑体" w:hAnsi="黑体" w:eastAsia="黑体" w:cs="黑体"/>
          <w:sz w:val="32"/>
          <w:szCs w:val="32"/>
          <w:lang w:eastAsia="zh-CN"/>
        </w:rPr>
      </w:pPr>
      <w:r>
        <w:rPr>
          <w:rFonts w:hint="eastAsia" w:ascii="黑体" w:hAnsi="黑体" w:eastAsia="黑体" w:cs="黑体"/>
          <w:sz w:val="32"/>
          <w:szCs w:val="32"/>
          <w:lang w:eastAsia="zh-CN"/>
        </w:rPr>
        <w:t>河南兴文化工程专项研究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195.中国道路的文明内涵研究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196.中华文明精神特质和发展形态研究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197.五千多年中华文明史的演进、分期及特质研究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198.中华文明起源与发展研究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199.中华文明多元一体格局形成过程研究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200.古代国家礼制与中华礼仪文明延续性研究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201.中原文化是中华文明的主根主脉主干主轴研究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202.中原学的理论基础、基本范畴与学科体系研究（分专题分领域，如中原经济学、中原伦理学）</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203.中原学与中国学研究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204.仰韶文化研究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205.夏文化研究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206.殷商文化与中原殷商学研究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207.河洛文化与河洛学研究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208.春秋文化研究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209.秦汉文化研究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210.唐宋文化研究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211.炎黄学研究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212.新宋学研究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213.冯友兰新理学研究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214.新时代黄河学研究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215.黄河文化“根”与“魂”的河南体现研究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216.打造中华文明河南标识研究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217.新时代河南文化强省建设路径与对策研究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218.河南文化品牌发展现状、思路与对策研究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219.殷墟文化保护利用研究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220.提升“行走河南·读懂中国”品牌影响力研究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221.河南建设文旅融合示范工程研究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222.河南省文旅融合发展格局构建路径研究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jNDgyZjU4MWM2ODNjZDM2OGVhYzE4MDdiOTNlMDQifQ=="/>
  </w:docVars>
  <w:rsids>
    <w:rsidRoot w:val="7D67485F"/>
    <w:rsid w:val="740F5AD0"/>
    <w:rsid w:val="7D674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customStyle="1" w:styleId="3">
    <w:name w:val="正文文本 21"/>
    <w:basedOn w:val="1"/>
    <w:qFormat/>
    <w:uiPriority w:val="0"/>
    <w:pPr>
      <w:spacing w:line="480" w:lineRule="auto"/>
    </w:pPr>
  </w:style>
  <w:style w:type="paragraph" w:customStyle="1" w:styleId="6">
    <w:name w:val="Body Text Indent 2"/>
    <w:basedOn w:val="1"/>
    <w:qFormat/>
    <w:uiPriority w:val="0"/>
    <w:pPr>
      <w:spacing w:after="120" w:afterLines="0" w:line="480" w:lineRule="auto"/>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4665</Words>
  <Characters>5318</Characters>
  <Lines>0</Lines>
  <Paragraphs>0</Paragraphs>
  <TotalTime>0</TotalTime>
  <ScaleCrop>false</ScaleCrop>
  <LinksUpToDate>false</LinksUpToDate>
  <CharactersWithSpaces>5349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2023-02-07T03:56:00Z</dcterms:created>
  <dc:creator>WPS_1640659952</dc:creator>
  <cp:lastModifiedBy>tianbao</cp:lastModifiedBy>
  <dcterms:modified xsi:type="dcterms:W3CDTF">2023-03-13T05:35:32Z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A09EF7DA49F6410197985CADB156FAE0</vt:lpwstr>
  </property>
</Properties>
</file>